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机构药物临床试验SOP</w:t>
      </w:r>
    </w:p>
    <w:tbl>
      <w:tblPr>
        <w:tblStyle w:val="6"/>
        <w:tblpPr w:leftFromText="180" w:rightFromText="180" w:vertAnchor="page" w:horzAnchor="page" w:tblpX="1837" w:tblpY="213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62"/>
        <w:gridCol w:w="1634"/>
        <w:gridCol w:w="1425"/>
        <w:gridCol w:w="143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84" w:type="dxa"/>
          </w:tcPr>
          <w:p>
            <w:pPr>
              <w:jc w:val="center"/>
              <w:rPr>
                <w:rFonts w:ascii="Times New Roman" w:hAnsi="Times New Roman" w:eastAsia="宋体"/>
                <w:sz w:val="28"/>
                <w:szCs w:val="28"/>
              </w:rPr>
            </w:pPr>
            <w:r>
              <w:rPr>
                <w:rFonts w:hint="eastAsia" w:ascii="Times New Roman" w:hAnsi="Times New Roman" w:eastAsia="宋体"/>
                <w:b/>
                <w:bCs/>
                <w:sz w:val="28"/>
                <w:szCs w:val="28"/>
              </w:rPr>
              <w:t>题  目</w:t>
            </w:r>
          </w:p>
        </w:tc>
        <w:tc>
          <w:tcPr>
            <w:tcW w:w="7371" w:type="dxa"/>
            <w:gridSpan w:val="5"/>
          </w:tcPr>
          <w:p>
            <w:pPr>
              <w:jc w:val="center"/>
              <w:rPr>
                <w:rFonts w:ascii="Times New Roman" w:hAnsi="Times New Roman" w:eastAsia="宋体"/>
                <w:sz w:val="28"/>
                <w:szCs w:val="28"/>
              </w:rPr>
            </w:pPr>
            <w:r>
              <w:rPr>
                <w:rFonts w:hint="eastAsia" w:ascii="Times New Roman" w:hAnsi="Times New Roman" w:eastAsia="宋体"/>
                <w:sz w:val="28"/>
                <w:szCs w:val="28"/>
              </w:rPr>
              <w:t>安全性事件报告的标准操作规程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84" w:type="dxa"/>
            <w:vAlign w:val="top"/>
          </w:tcPr>
          <w:p>
            <w:pPr>
              <w:jc w:val="center"/>
            </w:pPr>
            <w:r>
              <w:rPr>
                <w:rFonts w:hint="eastAsia" w:ascii="Times New Roman" w:eastAsia="宋体"/>
                <w:b/>
                <w:bCs/>
                <w:sz w:val="28"/>
                <w:szCs w:val="28"/>
              </w:rPr>
              <w:t>拟定人</w:t>
            </w:r>
          </w:p>
        </w:tc>
        <w:tc>
          <w:tcPr>
            <w:tcW w:w="1462" w:type="dxa"/>
            <w:vAlign w:val="top"/>
          </w:tcPr>
          <w:p>
            <w:pPr>
              <w:jc w:val="center"/>
              <w:rPr>
                <w:rFonts w:hint="eastAsia" w:eastAsiaTheme="minorEastAsia"/>
                <w:sz w:val="28"/>
                <w:szCs w:val="28"/>
                <w:lang w:val="en-US" w:eastAsia="zh-CN"/>
              </w:rPr>
            </w:pPr>
            <w:r>
              <w:rPr>
                <w:rFonts w:hint="eastAsia"/>
                <w:sz w:val="28"/>
                <w:szCs w:val="28"/>
                <w:lang w:val="en-US" w:eastAsia="zh-CN"/>
              </w:rPr>
              <w:t>党艺</w:t>
            </w:r>
          </w:p>
        </w:tc>
        <w:tc>
          <w:tcPr>
            <w:tcW w:w="1634" w:type="dxa"/>
            <w:vAlign w:val="top"/>
          </w:tcPr>
          <w:p>
            <w:pPr>
              <w:jc w:val="center"/>
            </w:pPr>
            <w:r>
              <w:rPr>
                <w:rFonts w:hint="eastAsia" w:ascii="Times New Roman" w:eastAsia="宋体"/>
                <w:b/>
                <w:bCs/>
                <w:sz w:val="28"/>
                <w:szCs w:val="28"/>
              </w:rPr>
              <w:t>审核人</w:t>
            </w:r>
          </w:p>
        </w:tc>
        <w:tc>
          <w:tcPr>
            <w:tcW w:w="1425" w:type="dxa"/>
            <w:vAlign w:val="top"/>
          </w:tcPr>
          <w:p>
            <w:pPr>
              <w:jc w:val="center"/>
              <w:rPr>
                <w:rFonts w:hint="eastAsia" w:eastAsiaTheme="minorEastAsia"/>
                <w:sz w:val="28"/>
                <w:szCs w:val="28"/>
                <w:lang w:eastAsia="zh-CN"/>
              </w:rPr>
            </w:pPr>
            <w:r>
              <w:rPr>
                <w:rFonts w:hint="eastAsia"/>
                <w:sz w:val="28"/>
                <w:szCs w:val="28"/>
                <w:lang w:eastAsia="zh-CN"/>
              </w:rPr>
              <w:t>王丙聚</w:t>
            </w:r>
          </w:p>
        </w:tc>
        <w:tc>
          <w:tcPr>
            <w:tcW w:w="1433" w:type="dxa"/>
            <w:vAlign w:val="top"/>
          </w:tcPr>
          <w:p>
            <w:pPr>
              <w:jc w:val="center"/>
            </w:pPr>
            <w:r>
              <w:rPr>
                <w:rFonts w:hint="eastAsia" w:ascii="Times New Roman" w:eastAsia="宋体"/>
                <w:b/>
                <w:bCs/>
                <w:sz w:val="28"/>
                <w:szCs w:val="28"/>
              </w:rPr>
              <w:t>批准人</w:t>
            </w:r>
          </w:p>
        </w:tc>
        <w:tc>
          <w:tcPr>
            <w:tcW w:w="1417" w:type="dxa"/>
            <w:vAlign w:val="top"/>
          </w:tcPr>
          <w:p>
            <w:pPr>
              <w:jc w:val="center"/>
              <w:rPr>
                <w:rFonts w:hint="eastAsia" w:eastAsiaTheme="minorEastAsia"/>
                <w:sz w:val="28"/>
                <w:szCs w:val="28"/>
                <w:lang w:eastAsia="zh-CN"/>
              </w:rPr>
            </w:pPr>
            <w:r>
              <w:rPr>
                <w:rFonts w:hint="eastAsia"/>
                <w:sz w:val="28"/>
                <w:szCs w:val="28"/>
                <w:lang w:eastAsia="zh-CN"/>
              </w:rPr>
              <w:t>张群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384" w:type="dxa"/>
            <w:vAlign w:val="top"/>
          </w:tcPr>
          <w:p>
            <w:pPr>
              <w:jc w:val="center"/>
              <w:rPr>
                <w:b/>
                <w:bCs/>
                <w:sz w:val="28"/>
                <w:szCs w:val="28"/>
              </w:rPr>
            </w:pPr>
            <w:r>
              <w:rPr>
                <w:rFonts w:hint="eastAsia" w:ascii="Times New Roman" w:eastAsia="宋体"/>
                <w:b/>
                <w:bCs/>
                <w:sz w:val="28"/>
                <w:szCs w:val="28"/>
              </w:rPr>
              <w:t>拟定时间</w:t>
            </w:r>
          </w:p>
        </w:tc>
        <w:tc>
          <w:tcPr>
            <w:tcW w:w="1462" w:type="dxa"/>
            <w:vAlign w:val="top"/>
          </w:tcPr>
          <w:p>
            <w:pPr>
              <w:jc w:val="center"/>
              <w:rPr>
                <w:rFonts w:hint="default" w:eastAsiaTheme="minorEastAsia"/>
                <w:sz w:val="28"/>
                <w:szCs w:val="28"/>
                <w:lang w:val="en-US" w:eastAsia="zh-CN"/>
              </w:rPr>
            </w:pPr>
            <w:r>
              <w:rPr>
                <w:rFonts w:hint="eastAsia"/>
                <w:sz w:val="28"/>
                <w:szCs w:val="28"/>
                <w:lang w:val="en-US" w:eastAsia="zh-CN"/>
              </w:rPr>
              <w:t>2020.6.29</w:t>
            </w:r>
          </w:p>
        </w:tc>
        <w:tc>
          <w:tcPr>
            <w:tcW w:w="1634" w:type="dxa"/>
            <w:vAlign w:val="top"/>
          </w:tcPr>
          <w:p>
            <w:pPr>
              <w:jc w:val="center"/>
              <w:rPr>
                <w:b/>
                <w:bCs/>
                <w:sz w:val="28"/>
                <w:szCs w:val="28"/>
              </w:rPr>
            </w:pPr>
            <w:r>
              <w:rPr>
                <w:rFonts w:hint="eastAsia" w:ascii="Times New Roman" w:eastAsia="宋体"/>
                <w:b/>
                <w:bCs/>
                <w:sz w:val="28"/>
                <w:szCs w:val="28"/>
              </w:rPr>
              <w:t>审核时间</w:t>
            </w:r>
          </w:p>
        </w:tc>
        <w:tc>
          <w:tcPr>
            <w:tcW w:w="1425" w:type="dxa"/>
            <w:vAlign w:val="top"/>
          </w:tcPr>
          <w:p>
            <w:pPr>
              <w:jc w:val="center"/>
              <w:rPr>
                <w:rFonts w:hint="default" w:eastAsiaTheme="minorEastAsia"/>
                <w:sz w:val="28"/>
                <w:szCs w:val="28"/>
                <w:lang w:val="en-US" w:eastAsia="zh-CN"/>
              </w:rPr>
            </w:pPr>
            <w:r>
              <w:rPr>
                <w:rFonts w:hint="eastAsia"/>
                <w:sz w:val="28"/>
                <w:szCs w:val="28"/>
                <w:lang w:val="en-US" w:eastAsia="zh-CN"/>
              </w:rPr>
              <w:t>2020.7.1</w:t>
            </w:r>
          </w:p>
        </w:tc>
        <w:tc>
          <w:tcPr>
            <w:tcW w:w="1433" w:type="dxa"/>
            <w:vAlign w:val="top"/>
          </w:tcPr>
          <w:p>
            <w:pPr>
              <w:jc w:val="center"/>
              <w:rPr>
                <w:b/>
                <w:bCs/>
                <w:sz w:val="28"/>
                <w:szCs w:val="28"/>
              </w:rPr>
            </w:pPr>
            <w:r>
              <w:rPr>
                <w:rFonts w:hint="eastAsia" w:ascii="Times New Roman" w:eastAsia="宋体"/>
                <w:b/>
                <w:bCs/>
                <w:sz w:val="28"/>
                <w:szCs w:val="28"/>
              </w:rPr>
              <w:t>批准时间</w:t>
            </w:r>
          </w:p>
        </w:tc>
        <w:tc>
          <w:tcPr>
            <w:tcW w:w="1417" w:type="dxa"/>
            <w:vAlign w:val="top"/>
          </w:tcPr>
          <w:p>
            <w:pPr>
              <w:jc w:val="center"/>
              <w:rPr>
                <w:rFonts w:hint="default" w:eastAsiaTheme="minorEastAsia"/>
                <w:sz w:val="28"/>
                <w:szCs w:val="28"/>
                <w:lang w:val="en-US" w:eastAsia="zh-CN"/>
              </w:rPr>
            </w:pPr>
            <w:r>
              <w:rPr>
                <w:rFonts w:hint="eastAsia"/>
                <w:sz w:val="28"/>
                <w:szCs w:val="28"/>
                <w:lang w:val="en-US" w:eastAsia="zh-CN"/>
              </w:rPr>
              <w:t>2020.7.1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84" w:type="dxa"/>
            <w:vAlign w:val="top"/>
          </w:tcPr>
          <w:p>
            <w:pPr>
              <w:jc w:val="center"/>
              <w:rPr>
                <w:b/>
                <w:bCs/>
                <w:sz w:val="28"/>
                <w:szCs w:val="28"/>
              </w:rPr>
            </w:pPr>
            <w:r>
              <w:rPr>
                <w:rFonts w:hint="eastAsia" w:ascii="Times New Roman" w:eastAsia="宋体"/>
                <w:b/>
                <w:bCs/>
                <w:sz w:val="28"/>
                <w:szCs w:val="28"/>
              </w:rPr>
              <w:t>编号</w:t>
            </w:r>
          </w:p>
        </w:tc>
        <w:tc>
          <w:tcPr>
            <w:tcW w:w="3096" w:type="dxa"/>
            <w:gridSpan w:val="2"/>
            <w:vAlign w:val="top"/>
          </w:tcPr>
          <w:p>
            <w:pPr>
              <w:jc w:val="center"/>
              <w:rPr>
                <w:sz w:val="28"/>
                <w:szCs w:val="28"/>
                <w:lang w:val="en-US"/>
              </w:rPr>
            </w:pPr>
            <w:r>
              <w:rPr>
                <w:rFonts w:hint="eastAsia" w:ascii="Times New Roman" w:eastAsia="宋体"/>
                <w:sz w:val="28"/>
                <w:szCs w:val="28"/>
              </w:rPr>
              <w:t>YDXY-JG-SOP-</w:t>
            </w:r>
            <w:r>
              <w:rPr>
                <w:rFonts w:hint="eastAsia" w:ascii="Times New Roman" w:eastAsia="宋体"/>
                <w:sz w:val="28"/>
                <w:szCs w:val="28"/>
                <w:lang w:val="en-US" w:eastAsia="zh-CN"/>
              </w:rPr>
              <w:t>29-2.0</w:t>
            </w:r>
          </w:p>
        </w:tc>
        <w:tc>
          <w:tcPr>
            <w:tcW w:w="1425" w:type="dxa"/>
            <w:vAlign w:val="top"/>
          </w:tcPr>
          <w:p>
            <w:pPr>
              <w:jc w:val="center"/>
              <w:rPr>
                <w:sz w:val="28"/>
                <w:szCs w:val="28"/>
              </w:rPr>
            </w:pPr>
            <w:r>
              <w:rPr>
                <w:rFonts w:hint="eastAsia" w:ascii="Times New Roman" w:eastAsia="宋体"/>
                <w:b/>
                <w:bCs/>
                <w:sz w:val="28"/>
                <w:szCs w:val="28"/>
              </w:rPr>
              <w:t>生效日期</w:t>
            </w:r>
          </w:p>
        </w:tc>
        <w:tc>
          <w:tcPr>
            <w:tcW w:w="2850" w:type="dxa"/>
            <w:gridSpan w:val="2"/>
            <w:vAlign w:val="top"/>
          </w:tcPr>
          <w:p>
            <w:pPr>
              <w:jc w:val="center"/>
              <w:rPr>
                <w:rFonts w:hint="default" w:ascii="Times New Roman" w:hAnsi="Times New Roman" w:eastAsia="宋体"/>
                <w:sz w:val="28"/>
                <w:szCs w:val="28"/>
                <w:lang w:val="en-US" w:eastAsia="zh-CN"/>
              </w:rPr>
            </w:pPr>
            <w:r>
              <w:rPr>
                <w:rFonts w:hint="eastAsia" w:ascii="Times New Roman" w:hAnsi="Times New Roman" w:eastAsia="宋体"/>
                <w:sz w:val="28"/>
                <w:szCs w:val="28"/>
                <w:lang w:val="en-US" w:eastAsia="zh-CN"/>
              </w:rPr>
              <w:t>2020.7.6</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9" w:hRule="atLeast"/>
        </w:trPr>
        <w:tc>
          <w:tcPr>
            <w:tcW w:w="1384" w:type="dxa"/>
          </w:tcPr>
          <w:p>
            <w:pPr>
              <w:rPr>
                <w:rFonts w:ascii="Times New Roman" w:hAnsi="Times New Roman" w:eastAsia="宋体"/>
                <w:sz w:val="28"/>
                <w:szCs w:val="28"/>
              </w:rPr>
            </w:pPr>
            <w:r>
              <w:rPr>
                <w:rFonts w:hint="eastAsia" w:ascii="Times New Roman" w:hAnsi="Times New Roman" w:eastAsia="宋体"/>
                <w:b/>
                <w:bCs/>
                <w:sz w:val="28"/>
                <w:szCs w:val="28"/>
              </w:rPr>
              <w:t>内  容</w:t>
            </w: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rPr>
                <w:rFonts w:ascii="Times New Roman" w:hAnsi="Times New Roman" w:eastAsia="宋体"/>
                <w:sz w:val="28"/>
                <w:szCs w:val="28"/>
              </w:rPr>
            </w:pPr>
          </w:p>
          <w:p>
            <w:pPr>
              <w:jc w:val="center"/>
              <w:rPr>
                <w:rFonts w:ascii="Times New Roman" w:hAnsi="Times New Roman" w:eastAsia="宋体"/>
                <w:sz w:val="28"/>
                <w:szCs w:val="28"/>
              </w:rPr>
            </w:pPr>
          </w:p>
        </w:tc>
        <w:tc>
          <w:tcPr>
            <w:tcW w:w="7371" w:type="dxa"/>
            <w:gridSpan w:val="5"/>
          </w:tcPr>
          <w:p>
            <w:pPr>
              <w:pStyle w:val="4"/>
              <w:widowControl/>
              <w:spacing w:beforeAutospacing="0" w:afterAutospacing="0"/>
              <w:ind w:right="76" w:firstLine="488"/>
              <w:rPr>
                <w:rFonts w:hint="eastAsia" w:asciiTheme="minorEastAsia" w:hAnsiTheme="minorEastAsia" w:cstheme="minorEastAsia"/>
                <w:color w:val="000000"/>
                <w:spacing w:val="-9"/>
                <w:sz w:val="28"/>
                <w:szCs w:val="28"/>
                <w:shd w:val="clear" w:color="auto" w:fill="FFFFFF"/>
              </w:rPr>
            </w:pPr>
            <w:r>
              <w:rPr>
                <w:rFonts w:hint="eastAsia" w:asciiTheme="minorEastAsia" w:hAnsiTheme="minorEastAsia" w:cstheme="minorEastAsia"/>
                <w:color w:val="000000"/>
                <w:spacing w:val="-9"/>
                <w:sz w:val="28"/>
                <w:szCs w:val="28"/>
                <w:shd w:val="clear" w:color="auto" w:fill="FFFFFF"/>
                <w:lang w:eastAsia="zh-CN"/>
              </w:rPr>
              <w:t>一、</w:t>
            </w:r>
            <w:r>
              <w:rPr>
                <w:rFonts w:hint="eastAsia" w:asciiTheme="minorEastAsia" w:hAnsiTheme="minorEastAsia" w:cstheme="minorEastAsia"/>
                <w:color w:val="000000"/>
                <w:spacing w:val="-9"/>
                <w:sz w:val="28"/>
                <w:szCs w:val="28"/>
                <w:shd w:val="clear" w:color="auto" w:fill="FFFFFF"/>
              </w:rPr>
              <w:t>目的</w:t>
            </w:r>
          </w:p>
          <w:p>
            <w:pPr>
              <w:ind w:firstLine="488"/>
              <w:rPr>
                <w:rFonts w:hint="eastAsia" w:asciiTheme="minorEastAsia" w:hAnsiTheme="minorEastAsia" w:cstheme="minorEastAsia"/>
                <w:color w:val="000000"/>
                <w:spacing w:val="-9"/>
                <w:sz w:val="28"/>
                <w:szCs w:val="28"/>
                <w:shd w:val="clear" w:color="auto" w:fill="FFFFFF"/>
                <w:lang w:val="en-US" w:eastAsia="zh-CN"/>
              </w:rPr>
            </w:pPr>
            <w:r>
              <w:rPr>
                <w:rFonts w:hint="eastAsia" w:asciiTheme="minorEastAsia" w:hAnsiTheme="minorEastAsia" w:cstheme="minorEastAsia"/>
                <w:color w:val="000000"/>
                <w:spacing w:val="-9"/>
                <w:sz w:val="28"/>
                <w:szCs w:val="28"/>
                <w:shd w:val="clear" w:color="auto" w:fill="FFFFFF"/>
              </w:rPr>
              <w:t>确保受试者发生严重不良事件（SAE）时，获得及时救治，并按我国药物临床试验相关法规的要求进行安全性事件报告。</w:t>
            </w:r>
            <w:r>
              <w:rPr>
                <w:rFonts w:hint="eastAsia" w:asciiTheme="minorEastAsia" w:hAnsiTheme="minorEastAsia" w:cstheme="minorEastAsia"/>
                <w:color w:val="000000"/>
                <w:spacing w:val="-9"/>
                <w:sz w:val="28"/>
                <w:szCs w:val="28"/>
                <w:shd w:val="clear" w:color="auto" w:fill="FFFFFF"/>
                <w:lang w:val="en-US" w:eastAsia="zh-CN"/>
              </w:rPr>
              <w:t xml:space="preserve">       </w:t>
            </w:r>
          </w:p>
          <w:p>
            <w:pPr>
              <w:ind w:firstLine="488"/>
              <w:rPr>
                <w:rFonts w:hint="eastAsia" w:asciiTheme="minorEastAsia" w:hAnsiTheme="minorEastAsia" w:cstheme="minorEastAsia"/>
                <w:color w:val="000000"/>
                <w:spacing w:val="-9"/>
                <w:sz w:val="28"/>
                <w:szCs w:val="28"/>
                <w:shd w:val="clear" w:color="auto" w:fill="FFFFFF"/>
              </w:rPr>
            </w:pPr>
            <w:r>
              <w:rPr>
                <w:rFonts w:hint="eastAsia" w:asciiTheme="minorEastAsia" w:hAnsiTheme="minorEastAsia" w:cstheme="minorEastAsia"/>
                <w:color w:val="000000"/>
                <w:spacing w:val="-9"/>
                <w:sz w:val="28"/>
                <w:szCs w:val="28"/>
                <w:shd w:val="clear" w:color="auto" w:fill="FFFFFF"/>
                <w:lang w:eastAsia="zh-CN"/>
              </w:rPr>
              <w:t>二、</w:t>
            </w:r>
            <w:r>
              <w:rPr>
                <w:rFonts w:hint="eastAsia" w:asciiTheme="minorEastAsia" w:hAnsiTheme="minorEastAsia" w:cstheme="minorEastAsia"/>
                <w:color w:val="000000"/>
                <w:spacing w:val="-9"/>
                <w:sz w:val="28"/>
                <w:szCs w:val="28"/>
                <w:shd w:val="clear" w:color="auto" w:fill="FFFFFF"/>
              </w:rPr>
              <w:t>范围</w:t>
            </w:r>
          </w:p>
          <w:p>
            <w:pPr>
              <w:ind w:firstLine="560" w:firstLineChars="200"/>
              <w:jc w:val="left"/>
              <w:rPr>
                <w:rFonts w:hint="eastAsia"/>
                <w:sz w:val="28"/>
                <w:szCs w:val="28"/>
              </w:rPr>
            </w:pPr>
            <w:r>
              <w:rPr>
                <w:rFonts w:hint="eastAsia"/>
                <w:sz w:val="28"/>
                <w:szCs w:val="28"/>
              </w:rPr>
              <w:t>适用于本试验机构</w:t>
            </w:r>
            <w:r>
              <w:rPr>
                <w:rFonts w:hint="eastAsia"/>
                <w:sz w:val="28"/>
                <w:szCs w:val="28"/>
                <w:lang w:eastAsia="zh-CN"/>
              </w:rPr>
              <w:t>安全性事件</w:t>
            </w:r>
            <w:r>
              <w:rPr>
                <w:rFonts w:hint="eastAsia"/>
                <w:sz w:val="28"/>
                <w:szCs w:val="28"/>
              </w:rPr>
              <w:t>的报告。</w:t>
            </w:r>
          </w:p>
          <w:p>
            <w:pPr>
              <w:pStyle w:val="4"/>
              <w:widowControl/>
              <w:spacing w:beforeAutospacing="0" w:afterAutospacing="0"/>
              <w:ind w:right="76"/>
              <w:rPr>
                <w:rFonts w:asciiTheme="minorEastAsia" w:hAnsiTheme="minorEastAsia" w:cstheme="minorEastAsia"/>
                <w:color w:val="000000"/>
                <w:spacing w:val="-9"/>
                <w:sz w:val="28"/>
                <w:szCs w:val="28"/>
                <w:shd w:val="clear" w:color="auto" w:fill="FFFFFF"/>
              </w:rPr>
            </w:pPr>
            <w:r>
              <w:rPr>
                <w:rFonts w:hint="eastAsia" w:asciiTheme="minorEastAsia" w:hAnsiTheme="minorEastAsia" w:cstheme="minorEastAsia"/>
                <w:color w:val="000000"/>
                <w:spacing w:val="-9"/>
                <w:sz w:val="28"/>
                <w:szCs w:val="28"/>
                <w:shd w:val="clear" w:color="auto" w:fill="FFFFFF"/>
                <w:lang w:val="en-US" w:eastAsia="zh-CN"/>
              </w:rPr>
              <w:t xml:space="preserve">    </w:t>
            </w:r>
            <w:r>
              <w:rPr>
                <w:rFonts w:hint="eastAsia" w:asciiTheme="minorEastAsia" w:hAnsiTheme="minorEastAsia" w:cstheme="minorEastAsia"/>
                <w:color w:val="000000"/>
                <w:spacing w:val="-9"/>
                <w:sz w:val="28"/>
                <w:szCs w:val="28"/>
                <w:shd w:val="clear" w:color="auto" w:fill="FFFFFF"/>
                <w:lang w:eastAsia="zh-CN"/>
              </w:rPr>
              <w:t>三、</w:t>
            </w:r>
            <w:r>
              <w:rPr>
                <w:rFonts w:hint="eastAsia" w:asciiTheme="minorEastAsia" w:hAnsiTheme="minorEastAsia" w:cstheme="minorEastAsia"/>
                <w:color w:val="000000"/>
                <w:spacing w:val="-9"/>
                <w:sz w:val="28"/>
                <w:szCs w:val="28"/>
                <w:shd w:val="clear" w:color="auto" w:fill="FFFFFF"/>
              </w:rPr>
              <w:t>规程</w:t>
            </w:r>
          </w:p>
          <w:p>
            <w:pPr>
              <w:jc w:val="left"/>
              <w:rPr>
                <w:rFonts w:hint="eastAsia"/>
                <w:sz w:val="28"/>
                <w:szCs w:val="28"/>
              </w:rPr>
            </w:pPr>
            <w:r>
              <w:rPr>
                <w:rFonts w:hint="eastAsia" w:ascii="Times New Roman" w:hAnsi="Times New Roman" w:eastAsia="宋体"/>
                <w:sz w:val="28"/>
                <w:szCs w:val="28"/>
              </w:rPr>
              <w:t xml:space="preserve">    </w:t>
            </w:r>
            <w:r>
              <w:rPr>
                <w:rFonts w:hint="eastAsia"/>
                <w:sz w:val="28"/>
                <w:szCs w:val="28"/>
              </w:rPr>
              <w:t>一、SAE的报告</w:t>
            </w:r>
          </w:p>
          <w:p>
            <w:pPr>
              <w:ind w:firstLine="560" w:firstLineChars="200"/>
              <w:jc w:val="left"/>
              <w:rPr>
                <w:rFonts w:hint="eastAsia"/>
                <w:sz w:val="28"/>
                <w:szCs w:val="28"/>
              </w:rPr>
            </w:pPr>
            <w:r>
              <w:rPr>
                <w:rFonts w:hint="eastAsia"/>
                <w:sz w:val="28"/>
                <w:szCs w:val="28"/>
              </w:rPr>
              <w:t>1. SAE上报界定</w:t>
            </w:r>
          </w:p>
          <w:p>
            <w:pPr>
              <w:ind w:firstLine="560" w:firstLineChars="200"/>
              <w:jc w:val="left"/>
              <w:rPr>
                <w:rFonts w:hint="eastAsia"/>
                <w:sz w:val="28"/>
                <w:szCs w:val="28"/>
              </w:rPr>
            </w:pPr>
            <w:r>
              <w:rPr>
                <w:rFonts w:hint="eastAsia"/>
                <w:sz w:val="28"/>
                <w:szCs w:val="28"/>
              </w:rPr>
              <w:t>根据2020年颁布实施的《药物临床试验质量管理规范》，除试验方案或者其他文件（如</w:t>
            </w:r>
            <w:r>
              <w:rPr>
                <w:rFonts w:hint="eastAsia"/>
                <w:sz w:val="28"/>
                <w:szCs w:val="28"/>
                <w:lang w:eastAsia="zh-CN"/>
              </w:rPr>
              <w:t>主要研究者</w:t>
            </w:r>
            <w:r>
              <w:rPr>
                <w:rFonts w:hint="eastAsia"/>
                <w:sz w:val="28"/>
                <w:szCs w:val="28"/>
              </w:rPr>
              <w:t>手册）中规定不需立即报告的SAE外，</w:t>
            </w:r>
            <w:r>
              <w:rPr>
                <w:rFonts w:hint="eastAsia"/>
                <w:sz w:val="28"/>
                <w:szCs w:val="28"/>
                <w:lang w:eastAsia="zh-CN"/>
              </w:rPr>
              <w:t>主要研究者</w:t>
            </w:r>
            <w:r>
              <w:rPr>
                <w:rFonts w:hint="eastAsia"/>
                <w:sz w:val="28"/>
                <w:szCs w:val="28"/>
              </w:rPr>
              <w:t>应当立即向申办者书面报告所有严重不良事件，随后应当及时提供详尽、书面的随访报告。SAE定义请参见附录。</w:t>
            </w:r>
          </w:p>
          <w:p>
            <w:pPr>
              <w:ind w:firstLine="560" w:firstLineChars="200"/>
              <w:jc w:val="left"/>
              <w:rPr>
                <w:rFonts w:hint="eastAsia"/>
                <w:sz w:val="28"/>
                <w:szCs w:val="28"/>
              </w:rPr>
            </w:pPr>
            <w:r>
              <w:rPr>
                <w:rFonts w:hint="eastAsia"/>
                <w:sz w:val="28"/>
                <w:szCs w:val="28"/>
              </w:rPr>
              <w:t>除上述规范所界定的SAE外，如试验方案特别规定的，如特别关注的不良事件（严重或非严重，AESI）等以及方案做出额外规定的SAE或妊娠等可遵循本SOP进行报告。</w:t>
            </w:r>
          </w:p>
          <w:p>
            <w:pPr>
              <w:ind w:firstLine="560" w:firstLineChars="200"/>
              <w:jc w:val="left"/>
              <w:rPr>
                <w:rFonts w:hint="eastAsia"/>
                <w:sz w:val="28"/>
                <w:szCs w:val="28"/>
              </w:rPr>
            </w:pPr>
            <w:r>
              <w:rPr>
                <w:rFonts w:hint="eastAsia"/>
                <w:sz w:val="28"/>
                <w:szCs w:val="28"/>
              </w:rPr>
              <w:t>2. SAE处理与记录</w:t>
            </w:r>
          </w:p>
          <w:p>
            <w:pPr>
              <w:ind w:firstLine="560" w:firstLineChars="200"/>
              <w:jc w:val="left"/>
              <w:rPr>
                <w:rFonts w:hint="eastAsia"/>
                <w:sz w:val="28"/>
                <w:szCs w:val="28"/>
              </w:rPr>
            </w:pPr>
            <w:r>
              <w:rPr>
                <w:rFonts w:hint="eastAsia"/>
                <w:sz w:val="28"/>
                <w:szCs w:val="28"/>
                <w:lang w:eastAsia="zh-CN"/>
              </w:rPr>
              <w:t>主要研究者</w:t>
            </w:r>
            <w:r>
              <w:rPr>
                <w:rFonts w:hint="eastAsia"/>
                <w:sz w:val="28"/>
                <w:szCs w:val="28"/>
              </w:rPr>
              <w:t>参照《不良事件及严重不良事件处理与记录的SOP》有关章节，对SAE进行及时处理与记录。</w:t>
            </w:r>
          </w:p>
          <w:p>
            <w:pPr>
              <w:ind w:firstLine="560" w:firstLineChars="200"/>
              <w:jc w:val="left"/>
              <w:rPr>
                <w:rFonts w:hint="eastAsia"/>
                <w:sz w:val="28"/>
                <w:szCs w:val="28"/>
              </w:rPr>
            </w:pPr>
            <w:r>
              <w:rPr>
                <w:rFonts w:hint="eastAsia"/>
                <w:sz w:val="28"/>
                <w:szCs w:val="28"/>
              </w:rPr>
              <w:t>3. SAE相关性判断</w:t>
            </w:r>
          </w:p>
          <w:p>
            <w:pPr>
              <w:ind w:firstLine="560" w:firstLineChars="200"/>
              <w:jc w:val="left"/>
              <w:rPr>
                <w:rFonts w:hint="eastAsia"/>
                <w:sz w:val="28"/>
                <w:szCs w:val="28"/>
              </w:rPr>
            </w:pPr>
            <w:r>
              <w:rPr>
                <w:rFonts w:hint="eastAsia"/>
                <w:sz w:val="28"/>
                <w:szCs w:val="28"/>
                <w:lang w:eastAsia="zh-CN"/>
              </w:rPr>
              <w:t>主要研究者</w:t>
            </w:r>
            <w:r>
              <w:rPr>
                <w:rFonts w:hint="eastAsia"/>
                <w:sz w:val="28"/>
                <w:szCs w:val="28"/>
              </w:rPr>
              <w:t>/被授权的临床医生按照《不良事件及严重不良事件处理与记录的SOP》有关章节，对SAE与试验用药物的相关性进行判断，必要时可邀请有关专家参与。</w:t>
            </w:r>
          </w:p>
          <w:p>
            <w:pPr>
              <w:ind w:firstLine="560" w:firstLineChars="200"/>
              <w:jc w:val="left"/>
              <w:rPr>
                <w:rFonts w:hint="eastAsia"/>
                <w:sz w:val="28"/>
                <w:szCs w:val="28"/>
              </w:rPr>
            </w:pPr>
            <w:r>
              <w:rPr>
                <w:rFonts w:hint="eastAsia"/>
                <w:sz w:val="28"/>
                <w:szCs w:val="28"/>
              </w:rPr>
              <w:t>4. SAE报告流程</w:t>
            </w:r>
          </w:p>
          <w:p>
            <w:pPr>
              <w:ind w:firstLine="560" w:firstLineChars="200"/>
              <w:jc w:val="left"/>
              <w:rPr>
                <w:rFonts w:hint="eastAsia"/>
                <w:sz w:val="28"/>
                <w:szCs w:val="28"/>
              </w:rPr>
            </w:pPr>
            <w:r>
              <w:rPr>
                <w:rFonts w:hint="eastAsia"/>
                <w:sz w:val="28"/>
                <w:szCs w:val="28"/>
              </w:rPr>
              <w:t>4.1 报告时限：</w:t>
            </w:r>
            <w:r>
              <w:rPr>
                <w:rFonts w:hint="eastAsia"/>
                <w:sz w:val="28"/>
                <w:szCs w:val="28"/>
                <w:lang w:eastAsia="zh-CN"/>
              </w:rPr>
              <w:t>研究者</w:t>
            </w:r>
            <w:r>
              <w:rPr>
                <w:rFonts w:hint="eastAsia"/>
                <w:sz w:val="28"/>
                <w:szCs w:val="28"/>
              </w:rPr>
              <w:t>在获知受试者出现SAE时，应及时通知</w:t>
            </w:r>
            <w:r>
              <w:rPr>
                <w:rFonts w:hint="eastAsia"/>
                <w:sz w:val="28"/>
                <w:szCs w:val="28"/>
                <w:lang w:eastAsia="zh-CN"/>
              </w:rPr>
              <w:t>主要研究者</w:t>
            </w:r>
            <w:r>
              <w:rPr>
                <w:rFonts w:hint="eastAsia"/>
                <w:sz w:val="28"/>
                <w:szCs w:val="28"/>
              </w:rPr>
              <w:t>（PI）按方案、项目SOP及时进行处理，结合2018年CDE发布的《药物临床试验期间安全性数据快速报告的标准和程序》规范要求，在试验启动前申办者需与</w:t>
            </w:r>
            <w:r>
              <w:rPr>
                <w:rFonts w:hint="eastAsia"/>
                <w:sz w:val="28"/>
                <w:szCs w:val="28"/>
                <w:lang w:eastAsia="zh-CN"/>
              </w:rPr>
              <w:t>主要研究者</w:t>
            </w:r>
            <w:r>
              <w:rPr>
                <w:rFonts w:hint="eastAsia"/>
                <w:sz w:val="28"/>
                <w:szCs w:val="28"/>
              </w:rPr>
              <w:t>明确“及时上报”是否采用获知SAE发生的24小时内上报时限或其他合理时限。</w:t>
            </w:r>
          </w:p>
          <w:p>
            <w:pPr>
              <w:ind w:firstLine="560" w:firstLineChars="200"/>
              <w:jc w:val="left"/>
              <w:rPr>
                <w:rFonts w:hint="eastAsia"/>
                <w:sz w:val="28"/>
                <w:szCs w:val="28"/>
              </w:rPr>
            </w:pPr>
            <w:r>
              <w:rPr>
                <w:rFonts w:hint="eastAsia"/>
                <w:sz w:val="28"/>
                <w:szCs w:val="28"/>
              </w:rPr>
              <w:t>4.2 报告部门：申办者。</w:t>
            </w:r>
          </w:p>
          <w:p>
            <w:pPr>
              <w:ind w:firstLine="560" w:firstLineChars="200"/>
              <w:jc w:val="left"/>
              <w:rPr>
                <w:rFonts w:hint="eastAsia"/>
                <w:sz w:val="28"/>
                <w:szCs w:val="28"/>
              </w:rPr>
            </w:pPr>
            <w:r>
              <w:rPr>
                <w:rFonts w:hint="eastAsia"/>
                <w:sz w:val="28"/>
                <w:szCs w:val="28"/>
              </w:rPr>
              <w:t>4.3 报告方式：根据申办者要求的方式和使用满足ICH-E2B要求的标准化SAE表格进行上报。</w:t>
            </w:r>
          </w:p>
          <w:p>
            <w:pPr>
              <w:ind w:firstLine="560" w:firstLineChars="200"/>
              <w:jc w:val="left"/>
              <w:rPr>
                <w:rFonts w:hint="eastAsia"/>
                <w:sz w:val="28"/>
                <w:szCs w:val="28"/>
              </w:rPr>
            </w:pPr>
            <w:r>
              <w:rPr>
                <w:rFonts w:hint="eastAsia"/>
                <w:sz w:val="28"/>
                <w:szCs w:val="28"/>
              </w:rPr>
              <w:t>5. SAE追踪随访</w:t>
            </w:r>
          </w:p>
          <w:p>
            <w:pPr>
              <w:ind w:firstLine="560" w:firstLineChars="200"/>
              <w:jc w:val="left"/>
              <w:rPr>
                <w:rFonts w:hint="eastAsia"/>
                <w:sz w:val="28"/>
                <w:szCs w:val="28"/>
              </w:rPr>
            </w:pPr>
            <w:r>
              <w:rPr>
                <w:rFonts w:hint="eastAsia"/>
                <w:sz w:val="28"/>
                <w:szCs w:val="28"/>
              </w:rPr>
              <w:t>5.1 如SAE发生转归或距发生之日相隔30日，需填报随访报告或总结报告。</w:t>
            </w:r>
          </w:p>
          <w:p>
            <w:pPr>
              <w:ind w:firstLine="560" w:firstLineChars="200"/>
              <w:jc w:val="left"/>
              <w:rPr>
                <w:rFonts w:hint="eastAsia"/>
                <w:sz w:val="28"/>
                <w:szCs w:val="28"/>
              </w:rPr>
            </w:pPr>
            <w:r>
              <w:rPr>
                <w:rFonts w:hint="eastAsia"/>
                <w:sz w:val="28"/>
                <w:szCs w:val="28"/>
              </w:rPr>
              <w:t>5.2 如判断与试验用药物相关的SAE，必须随访至该事件出现转归、结束或受试者失访；如判断与试验药物不相关的SAE，必须随访至该事件发生后的第28天；</w:t>
            </w:r>
          </w:p>
          <w:p>
            <w:pPr>
              <w:ind w:firstLine="560" w:firstLineChars="200"/>
              <w:jc w:val="left"/>
              <w:rPr>
                <w:rFonts w:hint="eastAsia"/>
                <w:sz w:val="28"/>
                <w:szCs w:val="28"/>
              </w:rPr>
            </w:pPr>
            <w:r>
              <w:rPr>
                <w:rFonts w:hint="eastAsia"/>
                <w:sz w:val="28"/>
                <w:szCs w:val="28"/>
              </w:rPr>
              <w:t>5.3 如因妊娠上报SAE的，应随访至胎儿出生或主动终止妊娠，观察有无致畸、致残等事件发生。如方案有特殊规定的，</w:t>
            </w:r>
            <w:r>
              <w:rPr>
                <w:rFonts w:hint="eastAsia"/>
                <w:sz w:val="28"/>
                <w:szCs w:val="28"/>
                <w:lang w:eastAsia="zh-CN"/>
              </w:rPr>
              <w:t>主要研究者</w:t>
            </w:r>
            <w:r>
              <w:rPr>
                <w:rFonts w:hint="eastAsia"/>
                <w:sz w:val="28"/>
                <w:szCs w:val="28"/>
              </w:rPr>
              <w:t>应遵循方案。</w:t>
            </w:r>
          </w:p>
          <w:p>
            <w:pPr>
              <w:jc w:val="left"/>
              <w:rPr>
                <w:rFonts w:hint="eastAsia"/>
                <w:sz w:val="28"/>
                <w:szCs w:val="28"/>
              </w:rPr>
            </w:pPr>
            <w:r>
              <w:rPr>
                <w:rFonts w:hint="eastAsia"/>
                <w:sz w:val="28"/>
                <w:szCs w:val="28"/>
              </w:rPr>
              <w:t>二、SUSAR的报告</w:t>
            </w:r>
          </w:p>
          <w:p>
            <w:pPr>
              <w:ind w:firstLine="560" w:firstLineChars="200"/>
              <w:jc w:val="left"/>
              <w:rPr>
                <w:rFonts w:hint="eastAsia"/>
                <w:sz w:val="28"/>
                <w:szCs w:val="28"/>
              </w:rPr>
            </w:pPr>
            <w:r>
              <w:rPr>
                <w:rFonts w:hint="eastAsia"/>
                <w:sz w:val="28"/>
                <w:szCs w:val="28"/>
              </w:rPr>
              <w:t>1. SUSAR的审阅</w:t>
            </w:r>
          </w:p>
          <w:p>
            <w:pPr>
              <w:ind w:firstLine="560" w:firstLineChars="200"/>
              <w:jc w:val="left"/>
              <w:rPr>
                <w:rFonts w:hint="eastAsia"/>
                <w:sz w:val="28"/>
                <w:szCs w:val="28"/>
              </w:rPr>
            </w:pPr>
            <w:r>
              <w:rPr>
                <w:rFonts w:hint="eastAsia"/>
                <w:sz w:val="28"/>
                <w:szCs w:val="28"/>
              </w:rPr>
              <w:t>申办者应按法规要求的时限将SUSAR报告递交</w:t>
            </w:r>
            <w:r>
              <w:rPr>
                <w:rFonts w:hint="eastAsia"/>
                <w:sz w:val="28"/>
                <w:szCs w:val="28"/>
                <w:lang w:eastAsia="zh-CN"/>
              </w:rPr>
              <w:t>主要研究者</w:t>
            </w:r>
            <w:r>
              <w:rPr>
                <w:rFonts w:hint="eastAsia"/>
                <w:sz w:val="28"/>
                <w:szCs w:val="28"/>
              </w:rPr>
              <w:t>审阅，</w:t>
            </w:r>
            <w:r>
              <w:rPr>
                <w:rFonts w:hint="eastAsia"/>
                <w:sz w:val="28"/>
                <w:szCs w:val="28"/>
                <w:lang w:eastAsia="zh-CN"/>
              </w:rPr>
              <w:t>主要研究者</w:t>
            </w:r>
            <w:r>
              <w:rPr>
                <w:rFonts w:hint="eastAsia"/>
                <w:sz w:val="28"/>
                <w:szCs w:val="28"/>
              </w:rPr>
              <w:t>审核签字后递交</w:t>
            </w:r>
            <w:r>
              <w:rPr>
                <w:rFonts w:hint="eastAsia"/>
                <w:sz w:val="28"/>
                <w:szCs w:val="28"/>
                <w:lang w:eastAsia="zh-CN"/>
              </w:rPr>
              <w:t>机构办公室</w:t>
            </w:r>
            <w:r>
              <w:rPr>
                <w:rFonts w:hint="eastAsia"/>
                <w:sz w:val="28"/>
                <w:szCs w:val="28"/>
              </w:rPr>
              <w:t>。根据申办方提供的SUSAR报告，</w:t>
            </w:r>
            <w:r>
              <w:rPr>
                <w:rFonts w:hint="eastAsia"/>
                <w:sz w:val="28"/>
                <w:szCs w:val="28"/>
                <w:lang w:eastAsia="zh-CN"/>
              </w:rPr>
              <w:t>主要研究者</w:t>
            </w:r>
            <w:r>
              <w:rPr>
                <w:rFonts w:hint="eastAsia"/>
                <w:sz w:val="28"/>
                <w:szCs w:val="28"/>
              </w:rPr>
              <w:t>或授权</w:t>
            </w:r>
            <w:r>
              <w:rPr>
                <w:rFonts w:hint="eastAsia"/>
                <w:sz w:val="28"/>
                <w:szCs w:val="28"/>
                <w:lang w:eastAsia="zh-CN"/>
              </w:rPr>
              <w:t>研究者</w:t>
            </w:r>
            <w:r>
              <w:rPr>
                <w:rFonts w:hint="eastAsia"/>
                <w:sz w:val="28"/>
                <w:szCs w:val="28"/>
              </w:rPr>
              <w:t>应衡量继续开展试验的风险和获益，如受试者继续参与试验的风险/获益比明显增高，应考虑采取及时和恰当的措施保护在研受试者安全和权益。SUSAR定义请参见附录。</w:t>
            </w:r>
          </w:p>
          <w:p>
            <w:pPr>
              <w:ind w:firstLine="560" w:firstLineChars="200"/>
              <w:jc w:val="left"/>
              <w:rPr>
                <w:rFonts w:hint="eastAsia"/>
                <w:sz w:val="28"/>
                <w:szCs w:val="28"/>
              </w:rPr>
            </w:pPr>
            <w:r>
              <w:rPr>
                <w:rFonts w:hint="eastAsia"/>
                <w:sz w:val="28"/>
                <w:szCs w:val="28"/>
              </w:rPr>
              <w:t>2. SUSAR的上报</w:t>
            </w:r>
          </w:p>
          <w:p>
            <w:pPr>
              <w:ind w:firstLine="560" w:firstLineChars="200"/>
              <w:jc w:val="left"/>
              <w:rPr>
                <w:rFonts w:hint="eastAsia"/>
                <w:sz w:val="28"/>
                <w:szCs w:val="28"/>
                <w:lang w:eastAsia="zh-CN"/>
              </w:rPr>
            </w:pPr>
            <w:r>
              <w:rPr>
                <w:rFonts w:hint="eastAsia"/>
                <w:sz w:val="28"/>
                <w:szCs w:val="28"/>
                <w:lang w:eastAsia="zh-CN"/>
              </w:rPr>
              <w:t>本中心</w:t>
            </w:r>
            <w:r>
              <w:rPr>
                <w:rFonts w:hint="eastAsia"/>
                <w:sz w:val="28"/>
                <w:szCs w:val="28"/>
              </w:rPr>
              <w:t>SUSAR</w:t>
            </w:r>
            <w:r>
              <w:rPr>
                <w:rFonts w:hint="eastAsia"/>
                <w:sz w:val="28"/>
                <w:szCs w:val="28"/>
                <w:lang w:eastAsia="zh-CN"/>
              </w:rPr>
              <w:t>报告</w:t>
            </w:r>
            <w:r>
              <w:rPr>
                <w:rFonts w:hint="eastAsia"/>
                <w:sz w:val="28"/>
                <w:szCs w:val="28"/>
              </w:rPr>
              <w:t>递交方</w:t>
            </w:r>
            <w:r>
              <w:rPr>
                <w:rFonts w:hint="eastAsia"/>
                <w:sz w:val="28"/>
                <w:szCs w:val="28"/>
                <w:lang w:eastAsia="zh-CN"/>
              </w:rPr>
              <w:t>以个例报告进行递交，并</w:t>
            </w:r>
            <w:r>
              <w:rPr>
                <w:rFonts w:hint="eastAsia"/>
                <w:sz w:val="28"/>
                <w:szCs w:val="28"/>
              </w:rPr>
              <w:t>取得对方的签收回执，包括申办者取得</w:t>
            </w:r>
            <w:r>
              <w:rPr>
                <w:rFonts w:hint="eastAsia"/>
                <w:sz w:val="28"/>
                <w:szCs w:val="28"/>
                <w:lang w:eastAsia="zh-CN"/>
              </w:rPr>
              <w:t>主要研究者</w:t>
            </w:r>
            <w:r>
              <w:rPr>
                <w:rFonts w:hint="eastAsia"/>
                <w:sz w:val="28"/>
                <w:szCs w:val="28"/>
              </w:rPr>
              <w:t>的签收回执、</w:t>
            </w:r>
            <w:r>
              <w:rPr>
                <w:rFonts w:hint="eastAsia"/>
                <w:sz w:val="28"/>
                <w:szCs w:val="28"/>
                <w:lang w:eastAsia="zh-CN"/>
              </w:rPr>
              <w:t>主要研究者</w:t>
            </w:r>
            <w:r>
              <w:rPr>
                <w:rFonts w:hint="eastAsia"/>
                <w:sz w:val="28"/>
                <w:szCs w:val="28"/>
              </w:rPr>
              <w:t>取得</w:t>
            </w:r>
            <w:r>
              <w:rPr>
                <w:rFonts w:hint="eastAsia"/>
                <w:sz w:val="28"/>
                <w:szCs w:val="28"/>
                <w:lang w:eastAsia="zh-CN"/>
              </w:rPr>
              <w:t>机构办公室和医学伦理委员会</w:t>
            </w:r>
            <w:r>
              <w:rPr>
                <w:rFonts w:hint="eastAsia"/>
                <w:sz w:val="28"/>
                <w:szCs w:val="28"/>
              </w:rPr>
              <w:t>的签收回执，以确认按时递交并递交成功</w:t>
            </w:r>
            <w:r>
              <w:rPr>
                <w:rFonts w:hint="eastAsia"/>
                <w:sz w:val="28"/>
                <w:szCs w:val="28"/>
                <w:lang w:eastAsia="zh-CN"/>
              </w:rPr>
              <w:t>。</w:t>
            </w:r>
          </w:p>
          <w:p>
            <w:pPr>
              <w:ind w:firstLine="560" w:firstLineChars="200"/>
              <w:jc w:val="left"/>
              <w:rPr>
                <w:rFonts w:hint="eastAsia" w:eastAsia="宋体"/>
                <w:sz w:val="28"/>
                <w:szCs w:val="28"/>
                <w:lang w:val="en-US" w:eastAsia="zh-CN"/>
              </w:rPr>
            </w:pPr>
            <w:r>
              <w:rPr>
                <w:rFonts w:hint="eastAsia"/>
                <w:sz w:val="28"/>
                <w:szCs w:val="28"/>
                <w:lang w:eastAsia="zh-CN"/>
              </w:rPr>
              <w:t>外中心</w:t>
            </w:r>
            <w:r>
              <w:rPr>
                <w:rFonts w:hint="eastAsia"/>
                <w:sz w:val="28"/>
                <w:szCs w:val="28"/>
              </w:rPr>
              <w:t>SUSAR</w:t>
            </w:r>
            <w:r>
              <w:rPr>
                <w:rFonts w:hint="eastAsia"/>
                <w:sz w:val="28"/>
                <w:szCs w:val="28"/>
                <w:lang w:eastAsia="zh-CN"/>
              </w:rPr>
              <w:t>报告</w:t>
            </w:r>
            <w:r>
              <w:rPr>
                <w:rFonts w:hint="eastAsia"/>
                <w:sz w:val="28"/>
                <w:szCs w:val="28"/>
              </w:rPr>
              <w:t>递交方</w:t>
            </w:r>
            <w:r>
              <w:rPr>
                <w:rFonts w:hint="eastAsia"/>
                <w:sz w:val="28"/>
                <w:szCs w:val="28"/>
                <w:lang w:eastAsia="zh-CN"/>
              </w:rPr>
              <w:t>以</w:t>
            </w:r>
            <w:r>
              <w:rPr>
                <w:rFonts w:hint="eastAsia"/>
                <w:sz w:val="28"/>
                <w:szCs w:val="28"/>
              </w:rPr>
              <w:t>SUSAR</w:t>
            </w:r>
            <w:r>
              <w:rPr>
                <w:rFonts w:hint="eastAsia"/>
                <w:sz w:val="28"/>
                <w:szCs w:val="28"/>
                <w:lang w:eastAsia="zh-CN"/>
              </w:rPr>
              <w:t>报告行列表加个例报告的形式，按季度（每</w:t>
            </w:r>
            <w:r>
              <w:rPr>
                <w:rFonts w:hint="eastAsia"/>
                <w:sz w:val="28"/>
                <w:szCs w:val="28"/>
                <w:lang w:val="en-US" w:eastAsia="zh-CN"/>
              </w:rPr>
              <w:t>3</w:t>
            </w:r>
            <w:r>
              <w:rPr>
                <w:rFonts w:hint="eastAsia"/>
                <w:sz w:val="28"/>
                <w:szCs w:val="28"/>
                <w:lang w:eastAsia="zh-CN"/>
              </w:rPr>
              <w:t>个月）递交给主要研究者阅读并签字，随后由主要研究者递交至机构办公室和医学伦理委员会。</w:t>
            </w:r>
          </w:p>
          <w:p>
            <w:pPr>
              <w:jc w:val="left"/>
              <w:rPr>
                <w:rFonts w:hint="eastAsia"/>
                <w:sz w:val="28"/>
                <w:szCs w:val="28"/>
                <w:lang w:eastAsia="zh-CN"/>
              </w:rPr>
            </w:pPr>
            <w:r>
              <w:rPr>
                <w:rFonts w:hint="eastAsia"/>
                <w:sz w:val="28"/>
                <w:szCs w:val="28"/>
                <w:lang w:eastAsia="zh-CN"/>
              </w:rPr>
              <w:t>三、药物研发期间安全性更新报告（DSUR）的报告</w:t>
            </w:r>
          </w:p>
          <w:p>
            <w:pPr>
              <w:ind w:firstLine="560" w:firstLineChars="200"/>
              <w:jc w:val="left"/>
              <w:rPr>
                <w:rFonts w:hint="eastAsia"/>
                <w:sz w:val="28"/>
                <w:szCs w:val="28"/>
                <w:lang w:eastAsia="zh-CN"/>
              </w:rPr>
            </w:pPr>
            <w:r>
              <w:rPr>
                <w:rFonts w:hint="eastAsia"/>
                <w:sz w:val="28"/>
                <w:szCs w:val="28"/>
                <w:lang w:eastAsia="zh-CN"/>
              </w:rPr>
              <w:t>1 </w:t>
            </w:r>
            <w:r>
              <w:rPr>
                <w:rFonts w:hint="eastAsia"/>
                <w:sz w:val="28"/>
                <w:szCs w:val="28"/>
                <w:lang w:val="en-US" w:eastAsia="zh-CN"/>
              </w:rPr>
              <w:t xml:space="preserve">. </w:t>
            </w:r>
            <w:r>
              <w:rPr>
                <w:rFonts w:hint="eastAsia"/>
                <w:sz w:val="28"/>
                <w:szCs w:val="28"/>
                <w:lang w:eastAsia="zh-CN"/>
              </w:rPr>
              <w:t>申办者应按照国家药监局药品审评中心发布的《研发期间安全性更新报告管理规范》报告DSUR，并在递交国家药品监督管理局药品审评中心的同时，将DSUR有关信息通报给主要研究者。设盲项目进行DSUR递交时，申办者应注意保持盲态；特殊情形下（如紧急揭盲），可以根据方案约定通报相关方。</w:t>
            </w:r>
          </w:p>
          <w:p>
            <w:pPr>
              <w:numPr>
                <w:ilvl w:val="0"/>
                <w:numId w:val="1"/>
              </w:numPr>
              <w:ind w:firstLine="560" w:firstLineChars="200"/>
              <w:jc w:val="left"/>
              <w:rPr>
                <w:rFonts w:hint="eastAsia" w:eastAsia="宋体"/>
                <w:sz w:val="28"/>
                <w:szCs w:val="28"/>
                <w:lang w:eastAsia="zh-CN"/>
              </w:rPr>
            </w:pPr>
            <w:r>
              <w:rPr>
                <w:rFonts w:hint="eastAsia"/>
                <w:sz w:val="28"/>
                <w:szCs w:val="28"/>
                <w:lang w:eastAsia="zh-CN"/>
              </w:rPr>
              <w:t>主要研究者应在接收申办者提交的DSUR后及时签收、阅读，以评估是否需要采取相关措施保护受试者安全和权益，并向机构办公室和医学伦理委员会递交《临床试验DSUR递交函》。</w:t>
            </w:r>
          </w:p>
          <w:p>
            <w:pPr>
              <w:jc w:val="left"/>
              <w:rPr>
                <w:rFonts w:hint="eastAsia"/>
                <w:sz w:val="28"/>
                <w:szCs w:val="28"/>
              </w:rPr>
            </w:pPr>
            <w:r>
              <w:rPr>
                <w:rFonts w:hint="eastAsia"/>
                <w:sz w:val="28"/>
                <w:szCs w:val="28"/>
                <w:lang w:eastAsia="zh-CN"/>
              </w:rPr>
              <w:t>四</w:t>
            </w:r>
            <w:r>
              <w:rPr>
                <w:rFonts w:hint="eastAsia"/>
                <w:sz w:val="28"/>
                <w:szCs w:val="28"/>
              </w:rPr>
              <w:t>、申办者处理安全性事件建议</w:t>
            </w:r>
          </w:p>
          <w:p>
            <w:pPr>
              <w:ind w:firstLine="560" w:firstLineChars="200"/>
              <w:jc w:val="left"/>
              <w:rPr>
                <w:rFonts w:hint="eastAsia"/>
                <w:sz w:val="28"/>
                <w:szCs w:val="28"/>
              </w:rPr>
            </w:pPr>
            <w:r>
              <w:rPr>
                <w:rFonts w:hint="eastAsia"/>
                <w:sz w:val="28"/>
                <w:szCs w:val="28"/>
              </w:rPr>
              <w:t>1. 申办者对安全性事件的数据收集原则应符合2020版GCP及CDE发布的《药物临床试验期间安全性数据快速报告标准和程序》的相关要求。</w:t>
            </w:r>
          </w:p>
          <w:p>
            <w:pPr>
              <w:ind w:firstLine="560" w:firstLineChars="200"/>
              <w:jc w:val="left"/>
              <w:rPr>
                <w:rFonts w:hint="eastAsia"/>
                <w:sz w:val="28"/>
                <w:szCs w:val="28"/>
              </w:rPr>
            </w:pPr>
            <w:r>
              <w:rPr>
                <w:rFonts w:hint="eastAsia"/>
                <w:sz w:val="28"/>
                <w:szCs w:val="28"/>
              </w:rPr>
              <w:t>2. 申办者收到任何来源的安全性相关信息后，均应当立即分析评估，包括严重性、与试验药物的相关性以及是否为预期事件等。</w:t>
            </w:r>
          </w:p>
          <w:p>
            <w:pPr>
              <w:ind w:firstLine="560" w:firstLineChars="200"/>
              <w:jc w:val="left"/>
              <w:rPr>
                <w:rFonts w:hint="eastAsia"/>
                <w:sz w:val="28"/>
                <w:szCs w:val="28"/>
              </w:rPr>
            </w:pPr>
            <w:r>
              <w:rPr>
                <w:rFonts w:hint="eastAsia"/>
                <w:sz w:val="28"/>
                <w:szCs w:val="28"/>
              </w:rPr>
              <w:t>3. 申办者在评估事件的严重性和相关性时，如果与</w:t>
            </w:r>
            <w:r>
              <w:rPr>
                <w:rFonts w:hint="eastAsia"/>
                <w:sz w:val="28"/>
                <w:szCs w:val="28"/>
                <w:lang w:eastAsia="zh-CN"/>
              </w:rPr>
              <w:t>主要研究者</w:t>
            </w:r>
            <w:r>
              <w:rPr>
                <w:rFonts w:hint="eastAsia"/>
                <w:sz w:val="28"/>
                <w:szCs w:val="28"/>
              </w:rPr>
              <w:t>持有不同的意见，特别是对</w:t>
            </w:r>
            <w:r>
              <w:rPr>
                <w:rFonts w:hint="eastAsia"/>
                <w:sz w:val="28"/>
                <w:szCs w:val="28"/>
                <w:lang w:eastAsia="zh-CN"/>
              </w:rPr>
              <w:t>主要研究者</w:t>
            </w:r>
            <w:r>
              <w:rPr>
                <w:rFonts w:hint="eastAsia"/>
                <w:sz w:val="28"/>
                <w:szCs w:val="28"/>
              </w:rPr>
              <w:t>的判断有降级的意见（如：将</w:t>
            </w:r>
            <w:r>
              <w:rPr>
                <w:rFonts w:hint="eastAsia"/>
                <w:sz w:val="28"/>
                <w:szCs w:val="28"/>
                <w:lang w:eastAsia="zh-CN"/>
              </w:rPr>
              <w:t>主要研究者</w:t>
            </w:r>
            <w:r>
              <w:rPr>
                <w:rFonts w:hint="eastAsia"/>
                <w:sz w:val="28"/>
                <w:szCs w:val="28"/>
              </w:rPr>
              <w:t>判断为相关的事件判断为不相关），必须写明理由。在相关性判断中不能达成一致时，其中任一方判断不能排除与试验药物相关的，也应快速报告。</w:t>
            </w:r>
          </w:p>
          <w:p>
            <w:pPr>
              <w:ind w:firstLine="280" w:firstLineChars="100"/>
              <w:jc w:val="left"/>
              <w:rPr>
                <w:rFonts w:hint="eastAsia"/>
                <w:sz w:val="28"/>
                <w:szCs w:val="28"/>
              </w:rPr>
            </w:pPr>
            <w:r>
              <w:rPr>
                <w:rFonts w:hint="eastAsia"/>
                <w:sz w:val="28"/>
                <w:szCs w:val="28"/>
              </w:rPr>
              <w:t>4. 在撰写评估报告时，申办者需要明确相关性判断的依据。应谨慎地判断相关性，在无确凿依据判断无关时，倾向于判断为有关。</w:t>
            </w:r>
          </w:p>
          <w:p>
            <w:pPr>
              <w:jc w:val="left"/>
              <w:rPr>
                <w:rFonts w:hint="eastAsia"/>
                <w:sz w:val="28"/>
                <w:szCs w:val="28"/>
              </w:rPr>
            </w:pPr>
          </w:p>
          <w:p>
            <w:pPr>
              <w:jc w:val="left"/>
              <w:rPr>
                <w:rFonts w:hint="eastAsia"/>
                <w:sz w:val="28"/>
                <w:szCs w:val="28"/>
              </w:rPr>
            </w:pPr>
            <w:r>
              <w:rPr>
                <w:rFonts w:hint="eastAsia"/>
                <w:sz w:val="28"/>
                <w:szCs w:val="28"/>
              </w:rPr>
              <w:t>附录：</w:t>
            </w:r>
          </w:p>
          <w:p>
            <w:pPr>
              <w:jc w:val="left"/>
              <w:rPr>
                <w:rFonts w:hint="eastAsia"/>
                <w:sz w:val="28"/>
                <w:szCs w:val="28"/>
              </w:rPr>
            </w:pPr>
            <w:r>
              <w:rPr>
                <w:rFonts w:hint="eastAsia"/>
                <w:sz w:val="28"/>
                <w:szCs w:val="28"/>
              </w:rPr>
              <w:t>1. 严重不良事件（SAE，Serious Adverse Event）指受试者接受试验用药品后出现死亡、危及生命、永久或者严重的残疾或者功能丧失、受试者需要住院治疗或者延长住院时间，以及先天性异常或者出生缺陷等不良医学事件。</w:t>
            </w:r>
          </w:p>
          <w:p>
            <w:pPr>
              <w:jc w:val="left"/>
              <w:rPr>
                <w:rFonts w:hint="eastAsia"/>
                <w:sz w:val="28"/>
                <w:szCs w:val="28"/>
              </w:rPr>
            </w:pPr>
            <w:r>
              <w:rPr>
                <w:rFonts w:hint="eastAsia"/>
                <w:sz w:val="28"/>
                <w:szCs w:val="28"/>
              </w:rPr>
              <w:t>2. 可疑且非预期严重不良反应（SUSAR），指临床表现的性质和严重程度超出了试验药物</w:t>
            </w:r>
            <w:r>
              <w:rPr>
                <w:rFonts w:hint="eastAsia"/>
                <w:sz w:val="28"/>
                <w:szCs w:val="28"/>
                <w:lang w:eastAsia="zh-CN"/>
              </w:rPr>
              <w:t>主要研究者</w:t>
            </w:r>
            <w:r>
              <w:rPr>
                <w:rFonts w:hint="eastAsia"/>
                <w:sz w:val="28"/>
                <w:szCs w:val="28"/>
              </w:rPr>
              <w:t>手册、已上市药品的说明书或者产品特性摘要等已有资料信息的可疑并且非预期的严重不良反应。</w:t>
            </w:r>
          </w:p>
          <w:p>
            <w:pPr>
              <w:jc w:val="left"/>
              <w:rPr>
                <w:rFonts w:hint="eastAsia"/>
                <w:sz w:val="28"/>
                <w:szCs w:val="28"/>
              </w:rPr>
            </w:pPr>
          </w:p>
          <w:p>
            <w:pPr>
              <w:jc w:val="left"/>
              <w:rPr>
                <w:rFonts w:hint="eastAsia"/>
                <w:sz w:val="28"/>
                <w:szCs w:val="28"/>
              </w:rPr>
            </w:pPr>
            <w:r>
              <w:rPr>
                <w:rFonts w:hint="eastAsia"/>
                <w:sz w:val="28"/>
                <w:szCs w:val="28"/>
              </w:rPr>
              <w:t>引自《药物临床试验质量管理规范》（2020.4.26发布，2020.7.1施行）</w:t>
            </w:r>
          </w:p>
          <w:p>
            <w:pPr>
              <w:rPr>
                <w:rFonts w:ascii="Times New Roman" w:hAnsi="Times New Roman" w:eastAsia="宋体" w:cs="宋体"/>
                <w:color w:val="000000"/>
                <w:spacing w:val="-9"/>
                <w:sz w:val="28"/>
                <w:szCs w:val="28"/>
                <w:shd w:val="clear" w:color="auto" w:fill="FFFFFF"/>
              </w:rPr>
            </w:pPr>
          </w:p>
        </w:tc>
      </w:tr>
    </w:tbl>
    <w:p>
      <w:pPr>
        <w:jc w:val="center"/>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bCs/>
        <w:sz w:val="21"/>
        <w:szCs w:val="21"/>
      </w:rPr>
    </w:pPr>
    <w:r>
      <w:rPr>
        <w:rFonts w:hint="eastAsia"/>
        <w:b/>
        <w:bCs/>
        <w:sz w:val="21"/>
        <w:szCs w:val="21"/>
      </w:rPr>
      <w:t>延安大学咸阳医院药物临床试验机构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80E7"/>
    <w:multiLevelType w:val="singleLevel"/>
    <w:tmpl w:val="2EEC80E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7441"/>
    <w:rsid w:val="00176ED2"/>
    <w:rsid w:val="00317212"/>
    <w:rsid w:val="00452FD8"/>
    <w:rsid w:val="005E2AE1"/>
    <w:rsid w:val="006F7F4F"/>
    <w:rsid w:val="00714FEC"/>
    <w:rsid w:val="00A64B34"/>
    <w:rsid w:val="00C47441"/>
    <w:rsid w:val="00DE0611"/>
    <w:rsid w:val="00DE159B"/>
    <w:rsid w:val="00E04D52"/>
    <w:rsid w:val="00E16763"/>
    <w:rsid w:val="00F6748C"/>
    <w:rsid w:val="07B02760"/>
    <w:rsid w:val="09397F2B"/>
    <w:rsid w:val="0DB67DB4"/>
    <w:rsid w:val="0E826204"/>
    <w:rsid w:val="15A06631"/>
    <w:rsid w:val="166A4785"/>
    <w:rsid w:val="1BAA45FF"/>
    <w:rsid w:val="21C0150D"/>
    <w:rsid w:val="28F9552D"/>
    <w:rsid w:val="298D6781"/>
    <w:rsid w:val="2E4D27DA"/>
    <w:rsid w:val="317B3321"/>
    <w:rsid w:val="32005F9E"/>
    <w:rsid w:val="32D31860"/>
    <w:rsid w:val="342F2A99"/>
    <w:rsid w:val="39186FCF"/>
    <w:rsid w:val="3C13198E"/>
    <w:rsid w:val="3DE460A3"/>
    <w:rsid w:val="3F9E4DD9"/>
    <w:rsid w:val="3FF63C05"/>
    <w:rsid w:val="4B0B75C3"/>
    <w:rsid w:val="55830DA0"/>
    <w:rsid w:val="56101FC5"/>
    <w:rsid w:val="581359EE"/>
    <w:rsid w:val="58B23C1A"/>
    <w:rsid w:val="5B0D2810"/>
    <w:rsid w:val="62AF3292"/>
    <w:rsid w:val="635D3D6D"/>
    <w:rsid w:val="68E125F5"/>
    <w:rsid w:val="75BB63EB"/>
    <w:rsid w:val="77204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98</Words>
  <Characters>562</Characters>
  <Lines>4</Lines>
  <Paragraphs>1</Paragraphs>
  <TotalTime>3</TotalTime>
  <ScaleCrop>false</ScaleCrop>
  <LinksUpToDate>false</LinksUpToDate>
  <CharactersWithSpaces>659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2020-02-26T06:56:00Z</cp:lastPrinted>
  <dcterms:modified xsi:type="dcterms:W3CDTF">2020-07-21T07:54:31Z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